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8C15" w14:textId="75DA079B" w:rsidR="00804C5E" w:rsidRPr="003D18EF" w:rsidRDefault="00804C5E" w:rsidP="00C563EA">
      <w:pPr>
        <w:jc w:val="center"/>
        <w:rPr>
          <w:b/>
          <w:bCs/>
          <w:sz w:val="28"/>
          <w:szCs w:val="28"/>
          <w:u w:val="single"/>
        </w:rPr>
      </w:pPr>
      <w:r w:rsidRPr="003D18EF">
        <w:rPr>
          <w:b/>
          <w:bCs/>
          <w:sz w:val="28"/>
          <w:szCs w:val="28"/>
          <w:u w:val="single"/>
        </w:rPr>
        <w:t>Teen Dating Violence Awareness and Prevention Curriculum</w:t>
      </w:r>
    </w:p>
    <w:p w14:paraId="0AE0115F" w14:textId="77777777" w:rsidR="001B2652" w:rsidRDefault="001B2652" w:rsidP="00C563EA">
      <w:pPr>
        <w:spacing w:after="0" w:line="240" w:lineRule="auto"/>
        <w:rPr>
          <w:b/>
          <w:bCs/>
        </w:rPr>
      </w:pPr>
    </w:p>
    <w:p w14:paraId="02320726" w14:textId="470AF830" w:rsidR="00804C5E" w:rsidRDefault="00804C5E" w:rsidP="00C563EA">
      <w:pPr>
        <w:spacing w:after="0" w:line="240" w:lineRule="auto"/>
      </w:pPr>
      <w:r w:rsidRPr="00C563EA">
        <w:rPr>
          <w:b/>
          <w:bCs/>
        </w:rPr>
        <w:t>Day 1</w:t>
      </w:r>
      <w:r>
        <w:t xml:space="preserve"> – Domestic Violence</w:t>
      </w:r>
    </w:p>
    <w:p w14:paraId="60C3FA25" w14:textId="06DCB557" w:rsidR="00804C5E" w:rsidRDefault="00804C5E" w:rsidP="00C563EA">
      <w:pPr>
        <w:spacing w:after="0" w:line="240" w:lineRule="auto"/>
      </w:pPr>
      <w:r w:rsidRPr="00C563EA">
        <w:rPr>
          <w:b/>
          <w:bCs/>
        </w:rPr>
        <w:t>Day 2</w:t>
      </w:r>
      <w:r>
        <w:t xml:space="preserve"> – Sexual Violence</w:t>
      </w:r>
    </w:p>
    <w:p w14:paraId="5F6BC0E1" w14:textId="69E2A8AD" w:rsidR="00804C5E" w:rsidRDefault="00804C5E" w:rsidP="00C563EA">
      <w:pPr>
        <w:spacing w:after="0" w:line="240" w:lineRule="auto"/>
      </w:pPr>
      <w:r w:rsidRPr="00C563EA">
        <w:rPr>
          <w:b/>
          <w:bCs/>
        </w:rPr>
        <w:t xml:space="preserve">Day </w:t>
      </w:r>
      <w:r w:rsidR="00941D08">
        <w:rPr>
          <w:b/>
          <w:bCs/>
        </w:rPr>
        <w:t>3</w:t>
      </w:r>
      <w:r>
        <w:t xml:space="preserve"> – </w:t>
      </w:r>
      <w:r w:rsidR="003469EE">
        <w:t>Stalking</w:t>
      </w:r>
      <w:r w:rsidR="00133728">
        <w:t xml:space="preserve"> &amp; Human Trafficking</w:t>
      </w:r>
    </w:p>
    <w:p w14:paraId="2378CDD0" w14:textId="170DE8CE" w:rsidR="00941D08" w:rsidRDefault="00941D08" w:rsidP="00C563EA">
      <w:pPr>
        <w:spacing w:after="0" w:line="240" w:lineRule="auto"/>
      </w:pPr>
      <w:r w:rsidRPr="00941D08">
        <w:rPr>
          <w:b/>
          <w:bCs/>
        </w:rPr>
        <w:t xml:space="preserve">Day 4 </w:t>
      </w:r>
      <w:r>
        <w:t xml:space="preserve">– </w:t>
      </w:r>
      <w:r w:rsidRPr="00941D08">
        <w:t>Reporting, Barriers, and Standing Up</w:t>
      </w:r>
    </w:p>
    <w:p w14:paraId="1333074B" w14:textId="2538315E" w:rsidR="00804C5E" w:rsidRDefault="00804C5E" w:rsidP="00C563EA">
      <w:pPr>
        <w:spacing w:after="0" w:line="240" w:lineRule="auto"/>
      </w:pPr>
      <w:r w:rsidRPr="00C563EA">
        <w:rPr>
          <w:b/>
          <w:bCs/>
        </w:rPr>
        <w:t>Day 5</w:t>
      </w:r>
      <w:r>
        <w:t xml:space="preserve"> – </w:t>
      </w:r>
      <w:r w:rsidR="0030328F">
        <w:t xml:space="preserve">SA </w:t>
      </w:r>
      <w:r w:rsidR="00133728">
        <w:t>Community Responder Panel</w:t>
      </w:r>
    </w:p>
    <w:p w14:paraId="1B17CEC1" w14:textId="77777777" w:rsidR="001B2652" w:rsidRDefault="001B2652"/>
    <w:p w14:paraId="01789F90" w14:textId="139621A0" w:rsidR="00804C5E" w:rsidRPr="00C563EA" w:rsidRDefault="00804C5E">
      <w:pPr>
        <w:rPr>
          <w:color w:val="156082" w:themeColor="accent1"/>
        </w:rPr>
      </w:pPr>
      <w:r w:rsidRPr="00C563EA">
        <w:rPr>
          <w:color w:val="156082" w:themeColor="accent1"/>
        </w:rPr>
        <w:t>“Teen Dating Violence: Healthy &amp; Unhealthy Relationships” presentation</w:t>
      </w:r>
      <w:r w:rsidR="007D1E93">
        <w:rPr>
          <w:color w:val="156082" w:themeColor="accent1"/>
        </w:rPr>
        <w:t xml:space="preserve"> (Savanna)</w:t>
      </w:r>
      <w:r w:rsidRPr="00C563EA">
        <w:rPr>
          <w:color w:val="156082" w:themeColor="accent1"/>
        </w:rPr>
        <w:t>:</w:t>
      </w:r>
    </w:p>
    <w:p w14:paraId="377757D9" w14:textId="001F68AE" w:rsidR="00804C5E" w:rsidRDefault="00804C5E" w:rsidP="00804C5E">
      <w:pPr>
        <w:pStyle w:val="ListParagraph"/>
        <w:numPr>
          <w:ilvl w:val="0"/>
          <w:numId w:val="1"/>
        </w:numPr>
      </w:pPr>
      <w:r>
        <w:t>Equality and Control</w:t>
      </w:r>
    </w:p>
    <w:p w14:paraId="1AFA9D23" w14:textId="0988225C" w:rsidR="00804C5E" w:rsidRDefault="00804C5E" w:rsidP="00804C5E">
      <w:pPr>
        <w:pStyle w:val="ListParagraph"/>
        <w:numPr>
          <w:ilvl w:val="0"/>
          <w:numId w:val="1"/>
        </w:numPr>
      </w:pPr>
      <w:r>
        <w:t>Different forms of abuse</w:t>
      </w:r>
    </w:p>
    <w:p w14:paraId="747319A1" w14:textId="1D39DE6E" w:rsidR="00804C5E" w:rsidRDefault="00804C5E" w:rsidP="003469EE">
      <w:pPr>
        <w:pStyle w:val="ListParagraph"/>
        <w:numPr>
          <w:ilvl w:val="0"/>
          <w:numId w:val="1"/>
        </w:numPr>
      </w:pPr>
      <w:r>
        <w:t>Healthy and Unhealthy Relationships</w:t>
      </w:r>
      <w:r w:rsidR="003469EE">
        <w:t xml:space="preserve">, </w:t>
      </w:r>
      <w:r>
        <w:t>The Relationship Spectrum</w:t>
      </w:r>
    </w:p>
    <w:p w14:paraId="3B0538AB" w14:textId="26B31EE7" w:rsidR="00804C5E" w:rsidRDefault="00804C5E" w:rsidP="00804C5E">
      <w:pPr>
        <w:pStyle w:val="ListParagraph"/>
        <w:numPr>
          <w:ilvl w:val="0"/>
          <w:numId w:val="1"/>
        </w:numPr>
      </w:pPr>
      <w:r>
        <w:t>Cycle of Abuse</w:t>
      </w:r>
      <w:r w:rsidR="003469EE">
        <w:t>, Why people stay</w:t>
      </w:r>
    </w:p>
    <w:p w14:paraId="0D66D54B" w14:textId="24FB1FBB" w:rsidR="00804C5E" w:rsidRDefault="00804C5E" w:rsidP="005C45A7">
      <w:pPr>
        <w:pStyle w:val="ListParagraph"/>
        <w:numPr>
          <w:ilvl w:val="0"/>
          <w:numId w:val="1"/>
        </w:numPr>
      </w:pPr>
      <w:r>
        <w:t>Video:</w:t>
      </w:r>
      <w:r w:rsidRPr="00E52614">
        <w:rPr>
          <w:color w:val="3A3A3A" w:themeColor="background2" w:themeShade="40"/>
        </w:rPr>
        <w:t xml:space="preserve"> </w:t>
      </w:r>
      <w:hyperlink r:id="rId5" w:history="1">
        <w:r w:rsidR="005C45A7" w:rsidRPr="00E52614">
          <w:rPr>
            <w:rStyle w:val="Hyperlink"/>
            <w:i/>
            <w:iCs/>
            <w:color w:val="3A3A3A" w:themeColor="background2" w:themeShade="40"/>
          </w:rPr>
          <w:t>https://www.youtube.com/watch?v=ZFpmB571fqE</w:t>
        </w:r>
      </w:hyperlink>
      <w:r w:rsidR="00EE73EB">
        <w:rPr>
          <w:color w:val="3A3A3A" w:themeColor="background2" w:themeShade="40"/>
        </w:rPr>
        <w:t xml:space="preserve"> (3 minutes)</w:t>
      </w:r>
    </w:p>
    <w:p w14:paraId="075318A2" w14:textId="35C1ED00" w:rsidR="00804C5E" w:rsidRPr="00C563EA" w:rsidRDefault="00804C5E">
      <w:pPr>
        <w:rPr>
          <w:color w:val="156082" w:themeColor="accent1"/>
        </w:rPr>
      </w:pPr>
      <w:r w:rsidRPr="00C563EA">
        <w:rPr>
          <w:color w:val="156082" w:themeColor="accent1"/>
        </w:rPr>
        <w:t>“Understanding Sexual Violence” presentation</w:t>
      </w:r>
      <w:r w:rsidR="007D1E93">
        <w:rPr>
          <w:color w:val="156082" w:themeColor="accent1"/>
        </w:rPr>
        <w:t xml:space="preserve"> (Heather)</w:t>
      </w:r>
      <w:r w:rsidRPr="00C563EA">
        <w:rPr>
          <w:color w:val="156082" w:themeColor="accent1"/>
        </w:rPr>
        <w:t>:</w:t>
      </w:r>
    </w:p>
    <w:p w14:paraId="4F7197EB" w14:textId="2929E324" w:rsidR="00804C5E" w:rsidRDefault="00804C5E" w:rsidP="00804C5E">
      <w:pPr>
        <w:pStyle w:val="ListParagraph"/>
        <w:numPr>
          <w:ilvl w:val="0"/>
          <w:numId w:val="1"/>
        </w:numPr>
      </w:pPr>
      <w:r>
        <w:t>What is sexual violence</w:t>
      </w:r>
      <w:r w:rsidR="003469EE">
        <w:t xml:space="preserve"> and the different types</w:t>
      </w:r>
    </w:p>
    <w:p w14:paraId="5CA6B6F7" w14:textId="5170D3AC" w:rsidR="00804C5E" w:rsidRDefault="00804C5E" w:rsidP="00804C5E">
      <w:pPr>
        <w:pStyle w:val="ListParagraph"/>
        <w:numPr>
          <w:ilvl w:val="0"/>
          <w:numId w:val="1"/>
        </w:numPr>
      </w:pPr>
      <w:r>
        <w:t>Types of sexual violence</w:t>
      </w:r>
    </w:p>
    <w:p w14:paraId="49C53CAE" w14:textId="488BD735" w:rsidR="00804C5E" w:rsidRDefault="00804C5E" w:rsidP="00804C5E">
      <w:pPr>
        <w:pStyle w:val="ListParagraph"/>
        <w:numPr>
          <w:ilvl w:val="0"/>
          <w:numId w:val="1"/>
        </w:numPr>
      </w:pPr>
      <w:r>
        <w:t>Consent</w:t>
      </w:r>
    </w:p>
    <w:p w14:paraId="259FE8E0" w14:textId="4A42E69F" w:rsidR="00804C5E" w:rsidRDefault="00804C5E" w:rsidP="00804C5E">
      <w:pPr>
        <w:pStyle w:val="ListParagraph"/>
        <w:numPr>
          <w:ilvl w:val="0"/>
          <w:numId w:val="1"/>
        </w:numPr>
      </w:pPr>
      <w:r>
        <w:t>Sexual Exploitation</w:t>
      </w:r>
    </w:p>
    <w:p w14:paraId="370602C5" w14:textId="27D13800" w:rsidR="00804C5E" w:rsidRDefault="00804C5E" w:rsidP="00804C5E">
      <w:pPr>
        <w:pStyle w:val="ListParagraph"/>
        <w:numPr>
          <w:ilvl w:val="0"/>
          <w:numId w:val="1"/>
        </w:numPr>
      </w:pPr>
      <w:r>
        <w:t>Sextortion</w:t>
      </w:r>
    </w:p>
    <w:p w14:paraId="574C320E" w14:textId="7EAA1AE3" w:rsidR="00804C5E" w:rsidRDefault="00804C5E" w:rsidP="00804C5E">
      <w:pPr>
        <w:pStyle w:val="ListParagraph"/>
        <w:numPr>
          <w:ilvl w:val="0"/>
          <w:numId w:val="1"/>
        </w:numPr>
      </w:pPr>
      <w:r>
        <w:t>Sexual Coercion</w:t>
      </w:r>
    </w:p>
    <w:p w14:paraId="6479711B" w14:textId="4B9A0140" w:rsidR="00804C5E" w:rsidRDefault="00804C5E" w:rsidP="00804C5E">
      <w:pPr>
        <w:pStyle w:val="ListParagraph"/>
        <w:numPr>
          <w:ilvl w:val="0"/>
          <w:numId w:val="1"/>
        </w:numPr>
      </w:pPr>
      <w:r>
        <w:t>Trauma Responses</w:t>
      </w:r>
    </w:p>
    <w:p w14:paraId="425244EB" w14:textId="2391D240" w:rsidR="005C45A7" w:rsidRPr="00E52614" w:rsidRDefault="005C45A7" w:rsidP="005C45A7">
      <w:pPr>
        <w:pStyle w:val="ListParagraph"/>
        <w:numPr>
          <w:ilvl w:val="0"/>
          <w:numId w:val="1"/>
        </w:numPr>
        <w:rPr>
          <w:color w:val="3A3A3A" w:themeColor="background2" w:themeShade="40"/>
        </w:rPr>
      </w:pPr>
      <w:r>
        <w:t xml:space="preserve">Video: </w:t>
      </w:r>
      <w:hyperlink r:id="rId6" w:history="1">
        <w:r w:rsidRPr="00E52614">
          <w:rPr>
            <w:rStyle w:val="Hyperlink"/>
            <w:i/>
            <w:iCs/>
            <w:color w:val="3A3A3A" w:themeColor="background2" w:themeShade="40"/>
          </w:rPr>
          <w:t>https://www.youtube.com/watch?v=U7_DR2nMK10</w:t>
        </w:r>
      </w:hyperlink>
      <w:r w:rsidRPr="00E52614">
        <w:rPr>
          <w:color w:val="3A3A3A" w:themeColor="background2" w:themeShade="40"/>
        </w:rPr>
        <w:t xml:space="preserve"> </w:t>
      </w:r>
      <w:r w:rsidR="00E50ECC">
        <w:rPr>
          <w:color w:val="3A3A3A" w:themeColor="background2" w:themeShade="40"/>
        </w:rPr>
        <w:t>(2.5 minutes)</w:t>
      </w:r>
    </w:p>
    <w:p w14:paraId="21B27A9D" w14:textId="77777777" w:rsidR="00C065C8" w:rsidRPr="00C563EA" w:rsidRDefault="00C065C8" w:rsidP="00C065C8">
      <w:pPr>
        <w:rPr>
          <w:color w:val="156082" w:themeColor="accent1"/>
        </w:rPr>
      </w:pPr>
      <w:r w:rsidRPr="00C563EA">
        <w:rPr>
          <w:color w:val="156082" w:themeColor="accent1"/>
        </w:rPr>
        <w:t>“Teen Dating Violence</w:t>
      </w:r>
      <w:r>
        <w:rPr>
          <w:color w:val="156082" w:themeColor="accent1"/>
        </w:rPr>
        <w:t>: Stalking</w:t>
      </w:r>
      <w:r w:rsidRPr="00C563EA">
        <w:rPr>
          <w:color w:val="156082" w:themeColor="accent1"/>
        </w:rPr>
        <w:t>” presentation</w:t>
      </w:r>
      <w:r>
        <w:rPr>
          <w:color w:val="156082" w:themeColor="accent1"/>
        </w:rPr>
        <w:t xml:space="preserve"> (Savanna)</w:t>
      </w:r>
      <w:r w:rsidRPr="00C563EA">
        <w:rPr>
          <w:color w:val="156082" w:themeColor="accent1"/>
        </w:rPr>
        <w:t>:</w:t>
      </w:r>
    </w:p>
    <w:p w14:paraId="5716A769" w14:textId="77777777" w:rsidR="00C065C8" w:rsidRPr="00941D08" w:rsidRDefault="00C065C8" w:rsidP="00C065C8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Presentation based on </w:t>
      </w:r>
      <w:hyperlink r:id="rId7" w:history="1">
        <w:r w:rsidRPr="00E52614">
          <w:rPr>
            <w:rStyle w:val="Hyperlink"/>
            <w:i/>
            <w:iCs/>
            <w:color w:val="3A3A3A" w:themeColor="background2" w:themeShade="40"/>
          </w:rPr>
          <w:t>https://www.stalkingawareness.org/wp-content/uploads/2024/03/SPARC-Stalking-Victim-Handbook.pdf</w:t>
        </w:r>
      </w:hyperlink>
      <w:r w:rsidRPr="00E52614">
        <w:rPr>
          <w:i/>
          <w:iCs/>
          <w:color w:val="3A3A3A" w:themeColor="background2" w:themeShade="40"/>
        </w:rPr>
        <w:t xml:space="preserve">  </w:t>
      </w:r>
    </w:p>
    <w:p w14:paraId="1B2140D6" w14:textId="413B4394" w:rsidR="00C065C8" w:rsidRPr="00941D08" w:rsidRDefault="00C065C8" w:rsidP="00C065C8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Video: </w:t>
      </w:r>
      <w:hyperlink r:id="rId8" w:history="1">
        <w:r w:rsidRPr="00E52614">
          <w:rPr>
            <w:rStyle w:val="Hyperlink"/>
            <w:i/>
            <w:iCs/>
            <w:color w:val="3A3A3A" w:themeColor="background2" w:themeShade="40"/>
          </w:rPr>
          <w:t>https://youtu.be/njUwDLIvoQE?si=KUfmED5DVHiDMS4b</w:t>
        </w:r>
      </w:hyperlink>
      <w:r w:rsidRPr="00E52614">
        <w:rPr>
          <w:i/>
          <w:iCs/>
          <w:color w:val="3A3A3A" w:themeColor="background2" w:themeShade="40"/>
        </w:rPr>
        <w:t xml:space="preserve"> </w:t>
      </w:r>
      <w:r w:rsidR="00E50ECC" w:rsidRPr="00E50ECC">
        <w:rPr>
          <w:color w:val="3A3A3A" w:themeColor="background2" w:themeShade="40"/>
        </w:rPr>
        <w:t>(4.5 minutes)</w:t>
      </w:r>
    </w:p>
    <w:p w14:paraId="65C1157A" w14:textId="77777777" w:rsidR="00C065C8" w:rsidRPr="00C563EA" w:rsidRDefault="00C065C8" w:rsidP="00C065C8">
      <w:pPr>
        <w:rPr>
          <w:color w:val="156082" w:themeColor="accent1"/>
        </w:rPr>
      </w:pPr>
      <w:r w:rsidRPr="00C563EA">
        <w:rPr>
          <w:color w:val="156082" w:themeColor="accent1"/>
        </w:rPr>
        <w:t>“</w:t>
      </w:r>
      <w:r>
        <w:rPr>
          <w:color w:val="156082" w:themeColor="accent1"/>
        </w:rPr>
        <w:t>Human Trafficking</w:t>
      </w:r>
      <w:r w:rsidRPr="00C563EA">
        <w:rPr>
          <w:color w:val="156082" w:themeColor="accent1"/>
        </w:rPr>
        <w:t>” presentation</w:t>
      </w:r>
      <w:r>
        <w:rPr>
          <w:color w:val="156082" w:themeColor="accent1"/>
        </w:rPr>
        <w:t xml:space="preserve"> (Heather)</w:t>
      </w:r>
      <w:r w:rsidRPr="00C563EA">
        <w:rPr>
          <w:color w:val="156082" w:themeColor="accent1"/>
        </w:rPr>
        <w:t>:</w:t>
      </w:r>
    </w:p>
    <w:p w14:paraId="2DF19699" w14:textId="18D79334" w:rsidR="00D715DE" w:rsidRDefault="008D5815" w:rsidP="00C065C8">
      <w:pPr>
        <w:pStyle w:val="ListParagraph"/>
        <w:numPr>
          <w:ilvl w:val="0"/>
          <w:numId w:val="1"/>
        </w:numPr>
      </w:pPr>
      <w:r>
        <w:t>Trafficking types and dynamics</w:t>
      </w:r>
    </w:p>
    <w:p w14:paraId="3B61CAF4" w14:textId="6FCD9B89" w:rsidR="00C065C8" w:rsidRDefault="008D5815" w:rsidP="00C065C8">
      <w:pPr>
        <w:pStyle w:val="ListParagraph"/>
        <w:numPr>
          <w:ilvl w:val="0"/>
          <w:numId w:val="1"/>
        </w:numPr>
      </w:pPr>
      <w:r>
        <w:t xml:space="preserve">Grooming &amp; </w:t>
      </w:r>
      <w:r w:rsidR="00C065C8">
        <w:t xml:space="preserve">Online Grooming </w:t>
      </w:r>
    </w:p>
    <w:p w14:paraId="686BE4EC" w14:textId="75B8022E" w:rsidR="008A48DB" w:rsidRPr="008A48DB" w:rsidRDefault="008A48DB" w:rsidP="00C065C8">
      <w:pPr>
        <w:pStyle w:val="ListParagraph"/>
        <w:numPr>
          <w:ilvl w:val="0"/>
          <w:numId w:val="1"/>
        </w:numPr>
        <w:rPr>
          <w:i/>
          <w:iCs/>
          <w:color w:val="3A3A3A" w:themeColor="background2" w:themeShade="40"/>
        </w:rPr>
      </w:pPr>
      <w:r>
        <w:t xml:space="preserve">Video: </w:t>
      </w:r>
      <w:hyperlink r:id="rId9" w:anchor="download-links" w:history="1">
        <w:r w:rsidRPr="008A48DB">
          <w:rPr>
            <w:rStyle w:val="Hyperlink"/>
            <w:i/>
            <w:iCs/>
            <w:color w:val="3A3A3A" w:themeColor="background2" w:themeShade="40"/>
          </w:rPr>
          <w:t>https://www.dhs.gov/medialibrary/assets/video/27904#download-links</w:t>
        </w:r>
      </w:hyperlink>
      <w:r w:rsidRPr="008A48DB">
        <w:rPr>
          <w:i/>
          <w:iCs/>
          <w:color w:val="3A3A3A" w:themeColor="background2" w:themeShade="40"/>
        </w:rPr>
        <w:t xml:space="preserve"> </w:t>
      </w:r>
      <w:r>
        <w:rPr>
          <w:color w:val="3A3A3A" w:themeColor="background2" w:themeShade="40"/>
        </w:rPr>
        <w:t>(2.5 minutes)</w:t>
      </w:r>
    </w:p>
    <w:p w14:paraId="754694CB" w14:textId="77777777" w:rsidR="00C065C8" w:rsidRDefault="00C065C8">
      <w:pPr>
        <w:rPr>
          <w:color w:val="156082" w:themeColor="accent1"/>
        </w:rPr>
      </w:pPr>
      <w:r>
        <w:rPr>
          <w:color w:val="156082" w:themeColor="accent1"/>
        </w:rPr>
        <w:br w:type="page"/>
      </w:r>
    </w:p>
    <w:p w14:paraId="1E0B872E" w14:textId="34C499A1" w:rsidR="00150E76" w:rsidRPr="00C563EA" w:rsidRDefault="00150E76" w:rsidP="00150E76">
      <w:pPr>
        <w:rPr>
          <w:color w:val="156082" w:themeColor="accent1"/>
        </w:rPr>
      </w:pPr>
      <w:r w:rsidRPr="00C563EA">
        <w:rPr>
          <w:color w:val="156082" w:themeColor="accent1"/>
        </w:rPr>
        <w:lastRenderedPageBreak/>
        <w:t xml:space="preserve">“Teen Dating Violence: </w:t>
      </w:r>
      <w:r w:rsidR="00941D08" w:rsidRPr="00941D08">
        <w:rPr>
          <w:color w:val="156082" w:themeColor="accent1"/>
        </w:rPr>
        <w:t>Reporting, Barriers, and Standing Up</w:t>
      </w:r>
      <w:r w:rsidRPr="00C563EA">
        <w:rPr>
          <w:color w:val="156082" w:themeColor="accent1"/>
        </w:rPr>
        <w:t>” presentation</w:t>
      </w:r>
      <w:r w:rsidR="007D1E93">
        <w:rPr>
          <w:color w:val="156082" w:themeColor="accent1"/>
        </w:rPr>
        <w:t xml:space="preserve"> (Savanna)</w:t>
      </w:r>
      <w:r w:rsidRPr="00C563EA">
        <w:rPr>
          <w:color w:val="156082" w:themeColor="accent1"/>
        </w:rPr>
        <w:t>:</w:t>
      </w:r>
    </w:p>
    <w:p w14:paraId="609BC570" w14:textId="6B8E616F" w:rsidR="00150E76" w:rsidRDefault="00150E76" w:rsidP="00150E76">
      <w:pPr>
        <w:pStyle w:val="ListParagraph"/>
        <w:numPr>
          <w:ilvl w:val="0"/>
          <w:numId w:val="1"/>
        </w:numPr>
      </w:pPr>
      <w:r>
        <w:t>SA Scenario</w:t>
      </w:r>
      <w:r w:rsidR="00C1079E">
        <w:t xml:space="preserve"> </w:t>
      </w:r>
      <w:hyperlink r:id="rId10" w:history="1">
        <w:r w:rsidR="00C1079E" w:rsidRPr="00C1079E">
          <w:rPr>
            <w:rStyle w:val="Hyperlink"/>
            <w:i/>
            <w:iCs/>
            <w:color w:val="3A3A3A" w:themeColor="background2" w:themeShade="40"/>
          </w:rPr>
          <w:t>Mock SA Scenario PDF.pdf</w:t>
        </w:r>
      </w:hyperlink>
    </w:p>
    <w:p w14:paraId="622CBC4F" w14:textId="5766F423" w:rsidR="00150E76" w:rsidRDefault="00150E76" w:rsidP="00150E76">
      <w:pPr>
        <w:pStyle w:val="ListParagraph"/>
        <w:numPr>
          <w:ilvl w:val="0"/>
          <w:numId w:val="1"/>
        </w:numPr>
      </w:pPr>
      <w:r>
        <w:t xml:space="preserve">Victim Process: </w:t>
      </w:r>
      <w:r w:rsidR="00C563EA">
        <w:t xml:space="preserve">Reporting, </w:t>
      </w:r>
      <w:r w:rsidR="00941D08">
        <w:t>SANE</w:t>
      </w:r>
      <w:r w:rsidR="00C563EA">
        <w:t xml:space="preserve"> </w:t>
      </w:r>
      <w:r w:rsidR="00941D08">
        <w:t>E</w:t>
      </w:r>
      <w:r w:rsidR="00C563EA">
        <w:t>xams</w:t>
      </w:r>
      <w:r w:rsidR="00941D08">
        <w:t>, Investigation, Amnesty</w:t>
      </w:r>
    </w:p>
    <w:p w14:paraId="75485C98" w14:textId="3D5AB828" w:rsidR="00150E76" w:rsidRDefault="00150E76" w:rsidP="00150E76">
      <w:pPr>
        <w:pStyle w:val="ListParagraph"/>
        <w:numPr>
          <w:ilvl w:val="0"/>
          <w:numId w:val="1"/>
        </w:numPr>
      </w:pPr>
      <w:r>
        <w:t>Perpetrator Process</w:t>
      </w:r>
      <w:r w:rsidR="00C563EA">
        <w:t>: Consequences</w:t>
      </w:r>
      <w:r w:rsidR="00941D08">
        <w:t xml:space="preserve"> &amp; Barriers, Sentencing, Probation &amp; Parole, Sex Offender Registry</w:t>
      </w:r>
    </w:p>
    <w:p w14:paraId="0647A3CE" w14:textId="0A6E5878" w:rsidR="00C563EA" w:rsidRDefault="00C563EA" w:rsidP="00150E76">
      <w:pPr>
        <w:pStyle w:val="ListParagraph"/>
        <w:numPr>
          <w:ilvl w:val="0"/>
          <w:numId w:val="1"/>
        </w:numPr>
      </w:pPr>
      <w:r>
        <w:t>Barriers to Reporting</w:t>
      </w:r>
    </w:p>
    <w:p w14:paraId="2BEC05C2" w14:textId="6AE56BFA" w:rsidR="008C08EB" w:rsidRDefault="008C08EB" w:rsidP="00150E76">
      <w:pPr>
        <w:pStyle w:val="ListParagraph"/>
        <w:numPr>
          <w:ilvl w:val="0"/>
          <w:numId w:val="1"/>
        </w:numPr>
      </w:pPr>
      <w:r>
        <w:t>Bystander Intervention</w:t>
      </w:r>
    </w:p>
    <w:p w14:paraId="093DF21B" w14:textId="3ABF2AD6" w:rsidR="00C065C8" w:rsidRDefault="002F5439" w:rsidP="00C065C8">
      <w:pPr>
        <w:pStyle w:val="ListParagraph"/>
        <w:numPr>
          <w:ilvl w:val="0"/>
          <w:numId w:val="1"/>
        </w:numPr>
      </w:pPr>
      <w:r>
        <w:t>Laws on consent, sexting and sending nudes</w:t>
      </w:r>
    </w:p>
    <w:p w14:paraId="6CD8A9E1" w14:textId="3D210EB9" w:rsidR="00C065C8" w:rsidRPr="00C563EA" w:rsidRDefault="0030328F" w:rsidP="00C065C8">
      <w:pPr>
        <w:rPr>
          <w:color w:val="156082" w:themeColor="accent1"/>
        </w:rPr>
      </w:pPr>
      <w:r>
        <w:rPr>
          <w:color w:val="156082" w:themeColor="accent1"/>
        </w:rPr>
        <w:t xml:space="preserve">SA </w:t>
      </w:r>
      <w:r w:rsidR="00C065C8">
        <w:rPr>
          <w:color w:val="156082" w:themeColor="accent1"/>
        </w:rPr>
        <w:t>Community Responder Panel</w:t>
      </w:r>
      <w:r>
        <w:rPr>
          <w:color w:val="156082" w:themeColor="accent1"/>
        </w:rPr>
        <w:t xml:space="preserve"> (suggested panel members &amp; roles)</w:t>
      </w:r>
      <w:r w:rsidR="00C065C8" w:rsidRPr="00C563EA">
        <w:rPr>
          <w:color w:val="156082" w:themeColor="accent1"/>
        </w:rPr>
        <w:t>:</w:t>
      </w:r>
    </w:p>
    <w:p w14:paraId="7F31F05B" w14:textId="77777777" w:rsidR="0030328F" w:rsidRDefault="0030328F" w:rsidP="0030328F">
      <w:pPr>
        <w:pStyle w:val="ListParagraph"/>
        <w:numPr>
          <w:ilvl w:val="0"/>
          <w:numId w:val="1"/>
        </w:numPr>
        <w:spacing w:line="276" w:lineRule="auto"/>
      </w:pPr>
      <w:r w:rsidRPr="0030328F">
        <w:rPr>
          <w:b/>
          <w:bCs/>
        </w:rPr>
        <w:t>Law Enforcement (SRO or Victim Resource Detective)</w:t>
      </w:r>
      <w:r w:rsidRPr="0030328F">
        <w:t xml:space="preserve"> </w:t>
      </w:r>
    </w:p>
    <w:p w14:paraId="0CA1093D" w14:textId="77777777" w:rsidR="0030328F" w:rsidRDefault="0030328F" w:rsidP="0030328F">
      <w:pPr>
        <w:pStyle w:val="ListParagraph"/>
        <w:numPr>
          <w:ilvl w:val="1"/>
          <w:numId w:val="1"/>
        </w:numPr>
        <w:spacing w:line="276" w:lineRule="auto"/>
      </w:pPr>
      <w:r w:rsidRPr="0030328F">
        <w:t xml:space="preserve">How a case is investigated </w:t>
      </w:r>
    </w:p>
    <w:p w14:paraId="5F1C89A1" w14:textId="77777777" w:rsidR="0030328F" w:rsidRDefault="0030328F" w:rsidP="0030328F">
      <w:pPr>
        <w:pStyle w:val="ListParagraph"/>
        <w:numPr>
          <w:ilvl w:val="1"/>
          <w:numId w:val="1"/>
        </w:numPr>
        <w:spacing w:line="276" w:lineRule="auto"/>
      </w:pPr>
      <w:r w:rsidRPr="0030328F">
        <w:t xml:space="preserve">What reporting looks like </w:t>
      </w:r>
    </w:p>
    <w:p w14:paraId="37843F6D" w14:textId="44F54021" w:rsidR="0030328F" w:rsidRPr="0030328F" w:rsidRDefault="0030328F" w:rsidP="003D18EF">
      <w:pPr>
        <w:pStyle w:val="ListParagraph"/>
        <w:numPr>
          <w:ilvl w:val="1"/>
          <w:numId w:val="1"/>
        </w:numPr>
        <w:spacing w:after="0" w:line="276" w:lineRule="auto"/>
      </w:pPr>
      <w:r w:rsidRPr="0030328F">
        <w:t xml:space="preserve">Explanation of amnesty laws </w:t>
      </w:r>
    </w:p>
    <w:p w14:paraId="0F71717B" w14:textId="77777777" w:rsidR="0030328F" w:rsidRDefault="0030328F" w:rsidP="0030328F">
      <w:pPr>
        <w:numPr>
          <w:ilvl w:val="0"/>
          <w:numId w:val="4"/>
        </w:numPr>
        <w:spacing w:after="0" w:line="276" w:lineRule="auto"/>
      </w:pPr>
      <w:r w:rsidRPr="0030328F">
        <w:rPr>
          <w:b/>
          <w:bCs/>
        </w:rPr>
        <w:t>SANE / Forensic Nurse</w:t>
      </w:r>
      <w:r w:rsidRPr="0030328F">
        <w:t xml:space="preserve"> </w:t>
      </w:r>
    </w:p>
    <w:p w14:paraId="3E337F10" w14:textId="77777777" w:rsid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What happens during a forensic exam </w:t>
      </w:r>
    </w:p>
    <w:p w14:paraId="3DE520C2" w14:textId="2B92EA4E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How evidence is collected </w:t>
      </w:r>
    </w:p>
    <w:p w14:paraId="2A3C745F" w14:textId="253A35A1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Medical care for victims </w:t>
      </w:r>
    </w:p>
    <w:p w14:paraId="515839CA" w14:textId="6163C589" w:rsidR="0030328F" w:rsidRPr="0030328F" w:rsidRDefault="0030328F" w:rsidP="0030328F">
      <w:pPr>
        <w:numPr>
          <w:ilvl w:val="0"/>
          <w:numId w:val="4"/>
        </w:numPr>
        <w:spacing w:after="0" w:line="276" w:lineRule="auto"/>
      </w:pPr>
      <w:r w:rsidRPr="0030328F">
        <w:rPr>
          <w:b/>
          <w:bCs/>
        </w:rPr>
        <w:t>DA’s Office</w:t>
      </w:r>
      <w:r w:rsidRPr="0030328F">
        <w:t xml:space="preserve"> </w:t>
      </w:r>
    </w:p>
    <w:p w14:paraId="40ADD665" w14:textId="77777777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Court process and prosecution </w:t>
      </w:r>
    </w:p>
    <w:p w14:paraId="6806BCA0" w14:textId="77777777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How cases move forward legally </w:t>
      </w:r>
    </w:p>
    <w:p w14:paraId="657F4174" w14:textId="060A965E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>Sentencing outcomes</w:t>
      </w:r>
      <w:r>
        <w:t xml:space="preserve"> </w:t>
      </w:r>
      <w:r w:rsidRPr="0030328F">
        <w:t xml:space="preserve"> </w:t>
      </w:r>
    </w:p>
    <w:p w14:paraId="0AF6C3DB" w14:textId="4B9DF18F" w:rsidR="0030328F" w:rsidRPr="0030328F" w:rsidRDefault="0030328F" w:rsidP="0030328F">
      <w:pPr>
        <w:numPr>
          <w:ilvl w:val="0"/>
          <w:numId w:val="4"/>
        </w:numPr>
        <w:spacing w:after="0" w:line="276" w:lineRule="auto"/>
      </w:pPr>
      <w:r w:rsidRPr="0030328F">
        <w:rPr>
          <w:b/>
          <w:bCs/>
        </w:rPr>
        <w:t>Probation &amp; Parole Agent (DOC)</w:t>
      </w:r>
    </w:p>
    <w:p w14:paraId="37C45C69" w14:textId="77777777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What supervision looks like after conviction </w:t>
      </w:r>
    </w:p>
    <w:p w14:paraId="0319F64C" w14:textId="77777777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 xml:space="preserve">Rules and restrictions for offenders </w:t>
      </w:r>
    </w:p>
    <w:p w14:paraId="2CD2A0CB" w14:textId="4441D037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>Long-term impact of being on the</w:t>
      </w:r>
      <w:r>
        <w:t xml:space="preserve"> sex offender </w:t>
      </w:r>
      <w:r w:rsidRPr="0030328F">
        <w:t xml:space="preserve">registry </w:t>
      </w:r>
    </w:p>
    <w:p w14:paraId="276F5CE5" w14:textId="77777777" w:rsidR="0030328F" w:rsidRPr="0030328F" w:rsidRDefault="0030328F" w:rsidP="0030328F">
      <w:pPr>
        <w:numPr>
          <w:ilvl w:val="1"/>
          <w:numId w:val="4"/>
        </w:numPr>
        <w:spacing w:after="0" w:line="276" w:lineRule="auto"/>
      </w:pPr>
      <w:r w:rsidRPr="0030328F">
        <w:t>What life looks like after a conviction</w:t>
      </w:r>
    </w:p>
    <w:p w14:paraId="18A04896" w14:textId="1E430C6A" w:rsidR="00133728" w:rsidRDefault="00133728" w:rsidP="003469EE"/>
    <w:sectPr w:rsidR="00133728" w:rsidSect="00C563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C9B"/>
    <w:multiLevelType w:val="hybridMultilevel"/>
    <w:tmpl w:val="15DCF9FA"/>
    <w:lvl w:ilvl="0" w:tplc="F1CA6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9237E"/>
    <w:multiLevelType w:val="multilevel"/>
    <w:tmpl w:val="81A0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57C60"/>
    <w:multiLevelType w:val="hybridMultilevel"/>
    <w:tmpl w:val="D66EC194"/>
    <w:lvl w:ilvl="0" w:tplc="5B2ABD9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80BED"/>
    <w:multiLevelType w:val="hybridMultilevel"/>
    <w:tmpl w:val="618A74CC"/>
    <w:lvl w:ilvl="0" w:tplc="DF16C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5745842">
    <w:abstractNumId w:val="0"/>
  </w:num>
  <w:num w:numId="2" w16cid:durableId="1074625727">
    <w:abstractNumId w:val="2"/>
  </w:num>
  <w:num w:numId="3" w16cid:durableId="1604461974">
    <w:abstractNumId w:val="3"/>
  </w:num>
  <w:num w:numId="4" w16cid:durableId="107728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5E"/>
    <w:rsid w:val="001040AE"/>
    <w:rsid w:val="00133728"/>
    <w:rsid w:val="00136597"/>
    <w:rsid w:val="00150E76"/>
    <w:rsid w:val="001B2652"/>
    <w:rsid w:val="001D77C4"/>
    <w:rsid w:val="00224F70"/>
    <w:rsid w:val="0024114D"/>
    <w:rsid w:val="002F5439"/>
    <w:rsid w:val="003003C1"/>
    <w:rsid w:val="0030328F"/>
    <w:rsid w:val="003469EE"/>
    <w:rsid w:val="0035171F"/>
    <w:rsid w:val="003772BB"/>
    <w:rsid w:val="003A125E"/>
    <w:rsid w:val="003D18EF"/>
    <w:rsid w:val="00416CA1"/>
    <w:rsid w:val="004A6556"/>
    <w:rsid w:val="004B1576"/>
    <w:rsid w:val="0057126E"/>
    <w:rsid w:val="00597B30"/>
    <w:rsid w:val="005C45A7"/>
    <w:rsid w:val="006A24D0"/>
    <w:rsid w:val="00701DE0"/>
    <w:rsid w:val="007D1E93"/>
    <w:rsid w:val="007D72F3"/>
    <w:rsid w:val="00804C5E"/>
    <w:rsid w:val="00830277"/>
    <w:rsid w:val="00832166"/>
    <w:rsid w:val="0086056F"/>
    <w:rsid w:val="008A48DB"/>
    <w:rsid w:val="008C08EB"/>
    <w:rsid w:val="008D5815"/>
    <w:rsid w:val="008D61E3"/>
    <w:rsid w:val="008E014F"/>
    <w:rsid w:val="00941D08"/>
    <w:rsid w:val="009509C4"/>
    <w:rsid w:val="009B3D74"/>
    <w:rsid w:val="00B060F3"/>
    <w:rsid w:val="00B15E13"/>
    <w:rsid w:val="00C065C8"/>
    <w:rsid w:val="00C1079E"/>
    <w:rsid w:val="00C15387"/>
    <w:rsid w:val="00C36F85"/>
    <w:rsid w:val="00C563EA"/>
    <w:rsid w:val="00D213CF"/>
    <w:rsid w:val="00D32CEC"/>
    <w:rsid w:val="00D50D1C"/>
    <w:rsid w:val="00D62902"/>
    <w:rsid w:val="00D715DE"/>
    <w:rsid w:val="00D813E9"/>
    <w:rsid w:val="00E50ECC"/>
    <w:rsid w:val="00E52614"/>
    <w:rsid w:val="00E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EFDA"/>
  <w15:chartTrackingRefBased/>
  <w15:docId w15:val="{EDF6C8F3-8F4D-49FF-8FD7-50179ACF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C5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45A7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C45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jUwDLIvoQE?si=KUfmED5DVHiDMS4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lkingawareness.org/wp-content/uploads/2024/03/SPARC-Stalking-Victim-Handboo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7_DR2nMK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ZFpmB571fqE" TargetMode="External"/><Relationship Id="rId10" Type="http://schemas.openxmlformats.org/officeDocument/2006/relationships/hyperlink" Target="file:///C:\Users\HP\Downloads\Mock%20SA%20Scenario%20PD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hs.gov/medialibrary/assets/video/27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Advocate</dc:creator>
  <cp:keywords/>
  <dc:description/>
  <cp:lastModifiedBy>Cheryl Brickner</cp:lastModifiedBy>
  <cp:revision>2</cp:revision>
  <dcterms:created xsi:type="dcterms:W3CDTF">2026-04-16T16:58:00Z</dcterms:created>
  <dcterms:modified xsi:type="dcterms:W3CDTF">2026-04-16T16:58:00Z</dcterms:modified>
</cp:coreProperties>
</file>